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9592B" w:rsidRPr="00815E63" w:rsidTr="00B070CB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366" w:rsidRDefault="0079592B" w:rsidP="00B07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15E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广西大学重点实验室</w:t>
            </w:r>
            <w:r w:rsidR="00FC4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评估</w:t>
            </w:r>
            <w:r w:rsidR="00A45F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与</w:t>
            </w:r>
            <w:r w:rsidRPr="00815E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考核办法</w:t>
            </w:r>
          </w:p>
          <w:p w:rsidR="0079592B" w:rsidRPr="00CF4366" w:rsidRDefault="00CF4366" w:rsidP="00B070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4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(试行)</w:t>
            </w:r>
            <w:r w:rsidR="0079592B" w:rsidRPr="00CF43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79592B" w:rsidRPr="00815E63" w:rsidTr="00B070C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9592B" w:rsidRPr="00815E63" w:rsidRDefault="0079592B" w:rsidP="00B070C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9592B" w:rsidRPr="00815E63" w:rsidTr="00B070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92B" w:rsidRPr="00815E63" w:rsidRDefault="0079592B" w:rsidP="00B070CB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9592B" w:rsidRPr="00815E63" w:rsidTr="00B070CB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79592B" w:rsidRPr="00815E63" w:rsidRDefault="0079592B" w:rsidP="00B070CB">
            <w:pPr>
              <w:widowControl/>
              <w:wordWrap w:val="0"/>
              <w:spacing w:line="360" w:lineRule="auto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第一章  总则 </w:t>
            </w:r>
          </w:p>
          <w:p w:rsidR="0079592B" w:rsidRPr="00815E63" w:rsidRDefault="0079592B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第一条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为了加强学校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各级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重点实验室</w:t>
            </w:r>
            <w:r w:rsidR="00316E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(含培育基地，以下皆同)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的管理，不断提高重点实验室的综合实力，根据《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国家重点实验室建设与运行管理办法》和《广西壮族自治区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重点实验室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建设与运行管理办法》、《广西高校重点实验室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建设与管理办法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（试行）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有关精神，特制定本办法。 </w:t>
            </w:r>
          </w:p>
          <w:p w:rsidR="0079592B" w:rsidRDefault="0079592B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第二条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本着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“扎实建设、规范运行、逐步提升”的原则，重点对实验室的任务完成、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学术水平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、人才培养、开放交流、管理规范等进行</w:t>
            </w:r>
            <w:r w:rsidR="00A45F6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定期</w:t>
            </w:r>
            <w:r w:rsidR="00FC49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评估</w:t>
            </w:r>
            <w:r w:rsidR="00A45F6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与年度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考核。</w:t>
            </w:r>
            <w:r w:rsidR="00FC499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评估</w:t>
            </w:r>
            <w:r w:rsidR="00A45F6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与考核工作实行</w:t>
            </w:r>
            <w:r w:rsidR="00DC0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审核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书面材料与实地考察相结合。 </w:t>
            </w:r>
          </w:p>
          <w:p w:rsidR="00225755" w:rsidRPr="00892C70" w:rsidRDefault="00225755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92C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第三条  </w:t>
            </w:r>
            <w:r w:rsidR="007942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年度考核是检查实验室一年来的任务</w:t>
            </w:r>
            <w:r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完成</w:t>
            </w:r>
            <w:r w:rsidR="00892C70"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情况</w:t>
            </w:r>
            <w:r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与</w:t>
            </w:r>
            <w:r w:rsidR="00892C70"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</w:t>
            </w:r>
            <w:r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运行情况，</w:t>
            </w:r>
            <w:r w:rsidR="00A45F6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定期</w:t>
            </w:r>
            <w:r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评估</w:t>
            </w:r>
            <w:r w:rsidR="007942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则</w:t>
            </w:r>
            <w:r w:rsidR="00892C70"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892C70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检查实验室</w:t>
            </w:r>
            <w:r w:rsidRPr="00892C7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建设期</w:t>
            </w:r>
            <w:r w:rsidRPr="00892C70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整体运行状况，引导实验室的定位和发展方向，促进实验室建设与发展。</w:t>
            </w:r>
          </w:p>
          <w:p w:rsidR="00892C70" w:rsidRDefault="00892C70" w:rsidP="00B070CB">
            <w:pPr>
              <w:widowControl/>
              <w:wordWrap w:val="0"/>
              <w:spacing w:line="360" w:lineRule="auto"/>
              <w:ind w:firstLine="37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79592B" w:rsidRPr="00815E63" w:rsidRDefault="0079592B" w:rsidP="00B070CB">
            <w:pPr>
              <w:widowControl/>
              <w:wordWrap w:val="0"/>
              <w:spacing w:line="360" w:lineRule="auto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第二章  </w:t>
            </w:r>
            <w:r w:rsidR="000B200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评估</w:t>
            </w:r>
            <w:r w:rsidR="00A45F6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与</w:t>
            </w:r>
            <w:r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考核的组织实施</w:t>
            </w:r>
          </w:p>
          <w:p w:rsidR="00892C70" w:rsidRDefault="00E66FB0" w:rsidP="00A82309">
            <w:pPr>
              <w:pStyle w:val="a5"/>
              <w:ind w:firstLineChars="196" w:firstLine="63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第四</w:t>
            </w:r>
            <w:r w:rsidR="0079592B" w:rsidRPr="00815E63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条</w:t>
            </w:r>
            <w:r w:rsidR="0079592B" w:rsidRPr="00815E63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="000B20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</w:t>
            </w:r>
            <w:r w:rsidR="0079592B">
              <w:rPr>
                <w:rFonts w:ascii="仿宋_GB2312" w:eastAsia="仿宋_GB2312" w:hint="eastAsia"/>
                <w:color w:val="000000"/>
                <w:sz w:val="32"/>
                <w:szCs w:val="32"/>
              </w:rPr>
              <w:t>每年1-3月份对上一</w:t>
            </w:r>
            <w:r w:rsidR="0079592B" w:rsidRPr="00815E63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年度</w:t>
            </w:r>
            <w:r w:rsidR="0079592B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实验室的建</w:t>
            </w:r>
            <w:r w:rsidR="0079592B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设与运行情况进行考核</w:t>
            </w:r>
            <w:r w:rsidR="0079592B" w:rsidRPr="00815E63">
              <w:rPr>
                <w:rFonts w:ascii="仿宋_GB2312" w:eastAsia="仿宋_GB2312" w:hint="eastAsia"/>
                <w:color w:val="000000"/>
                <w:sz w:val="32"/>
                <w:szCs w:val="32"/>
              </w:rPr>
              <w:t>。</w:t>
            </w:r>
            <w:r w:rsidR="000B20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学校对实验室进行定期评估，</w:t>
            </w:r>
            <w:r w:rsidR="00225755">
              <w:t xml:space="preserve"> </w:t>
            </w:r>
            <w:r w:rsidR="00892C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每五</w:t>
            </w:r>
            <w:r w:rsidR="000B20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年为一个评估周期。</w:t>
            </w:r>
          </w:p>
          <w:p w:rsidR="00225755" w:rsidRPr="000825B3" w:rsidRDefault="00E66FB0" w:rsidP="00A82309">
            <w:pPr>
              <w:pStyle w:val="a5"/>
              <w:ind w:firstLineChars="196" w:firstLine="63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第五</w:t>
            </w:r>
            <w:r w:rsidR="0079592B" w:rsidRPr="00815E63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条</w:t>
            </w:r>
            <w:r w:rsidR="0079592B" w:rsidRPr="00815E63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  <w:r w:rsidR="000B2009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重点实验室评估</w:t>
            </w:r>
            <w:r w:rsidR="00A45F6C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与</w:t>
            </w:r>
            <w:r w:rsidR="0079592B">
              <w:rPr>
                <w:rFonts w:ascii="仿宋_GB2312" w:eastAsia="仿宋_GB2312" w:hint="eastAsia"/>
                <w:color w:val="000000"/>
                <w:sz w:val="32"/>
                <w:szCs w:val="32"/>
              </w:rPr>
              <w:t>考核</w:t>
            </w:r>
            <w:r w:rsidR="00A45F6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工作</w:t>
            </w:r>
            <w:r w:rsidR="0079592B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由学校科研管理部门组织实施。</w:t>
            </w:r>
            <w:r w:rsidR="00A45F6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定期评估与</w:t>
            </w:r>
            <w:r w:rsidR="0022575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年度考核</w:t>
            </w:r>
            <w:r w:rsidR="00892C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聘请</w:t>
            </w:r>
            <w:r w:rsidR="00A45F6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区内外</w:t>
            </w:r>
            <w:r w:rsidR="000825B3" w:rsidRPr="000825B3">
              <w:rPr>
                <w:rFonts w:ascii="仿宋_GB2312" w:eastAsia="仿宋_GB2312"/>
                <w:color w:val="000000"/>
                <w:sz w:val="32"/>
                <w:szCs w:val="32"/>
              </w:rPr>
              <w:t>学术水</w:t>
            </w:r>
            <w:r w:rsidR="000825B3">
              <w:rPr>
                <w:rFonts w:ascii="仿宋_GB2312" w:eastAsia="仿宋_GB2312"/>
                <w:color w:val="000000"/>
                <w:sz w:val="32"/>
                <w:szCs w:val="32"/>
              </w:rPr>
              <w:t>平高、公道正派、熟悉实验室工作的</w:t>
            </w:r>
            <w:r w:rsidR="00892C70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专家</w:t>
            </w:r>
            <w:r w:rsidR="00DE2121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进行，</w:t>
            </w:r>
            <w:r w:rsidR="00F50A0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年度考核聘请3-5位专家；定期</w:t>
            </w:r>
            <w:r w:rsidR="00DE2121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评估聘请5-7位的专家，且区内专家不能多于1/2。</w:t>
            </w:r>
          </w:p>
          <w:p w:rsidR="0079592B" w:rsidRPr="00DE2121" w:rsidRDefault="00E66FB0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第六</w:t>
            </w:r>
            <w:r w:rsidR="00DE2121" w:rsidRPr="00DE212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条 </w:t>
            </w:r>
            <w:r w:rsidR="00DE212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79592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实验室每年年初报上一年度的《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重点实验室年度</w:t>
            </w:r>
            <w:r w:rsidR="0079592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总结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报告》</w:t>
            </w:r>
            <w:r w:rsidR="0079592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和《重点实验室年度考核意见表》，学校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科研管理部门组织专家对提交材料进行评议或现场核实，出具考核意见。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E66FB0" w:rsidRDefault="00E66FB0" w:rsidP="00A82309">
            <w:pPr>
              <w:widowControl/>
              <w:wordWrap w:val="0"/>
              <w:spacing w:line="408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第七</w:t>
            </w:r>
            <w:r w:rsidR="0079592B"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参加定期评估的实验室提交《重点实验室五年工作总结报告》和</w:t>
            </w:r>
            <w:r w:rsidR="00E355D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《重点实验室评估表》；学校科研管理部门按下列程序组织专家进行评估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并出具评估意见</w:t>
            </w:r>
            <w:r w:rsidR="00E355D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E355DA" w:rsidRPr="00E355DA" w:rsidRDefault="00E355DA" w:rsidP="00E355DA">
            <w:pPr>
              <w:widowControl/>
              <w:spacing w:line="36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355D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1.实验室汇报。</w:t>
            </w:r>
            <w:r w:rsidR="0039147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实验室主任对实验室整体情况做简要汇报</w:t>
            </w:r>
            <w:r w:rsidRPr="00E355D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。 </w:t>
            </w:r>
          </w:p>
          <w:p w:rsidR="00E355DA" w:rsidRPr="00E355DA" w:rsidRDefault="00E355DA" w:rsidP="00E355DA">
            <w:pPr>
              <w:widowControl/>
              <w:spacing w:line="36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355D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2.现场考察。专家组考察实验室实际运行和管理情况。 </w:t>
            </w:r>
          </w:p>
          <w:p w:rsidR="00E355DA" w:rsidRPr="00E355DA" w:rsidRDefault="00E355DA" w:rsidP="00E355DA">
            <w:pPr>
              <w:widowControl/>
              <w:spacing w:line="36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355D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3.个别访谈。根据需要，专家组选择与实验室部分人员进行个别谈话。 </w:t>
            </w:r>
          </w:p>
          <w:p w:rsidR="00E66FB0" w:rsidRDefault="00E355DA" w:rsidP="0039147F">
            <w:pPr>
              <w:widowControl/>
              <w:spacing w:line="36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355D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 xml:space="preserve">4.专家讨论。专家组讨论形成意见，并填写现场检查报告。 </w:t>
            </w:r>
          </w:p>
          <w:p w:rsidR="00634BCA" w:rsidRPr="00634BCA" w:rsidRDefault="00634BCA" w:rsidP="00634BCA">
            <w:pPr>
              <w:widowControl/>
              <w:spacing w:line="360" w:lineRule="atLeast"/>
              <w:ind w:firstLine="48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34BC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第三章   评估与考核的主要内容</w:t>
            </w:r>
          </w:p>
          <w:p w:rsidR="0079592B" w:rsidRPr="00815E63" w:rsidRDefault="0039147F" w:rsidP="00A82309">
            <w:pPr>
              <w:widowControl/>
              <w:wordWrap w:val="0"/>
              <w:spacing w:line="408" w:lineRule="auto"/>
              <w:ind w:firstLineChars="200" w:firstLine="6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147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第八条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定期评估与年底</w:t>
            </w:r>
            <w:r w:rsidR="0079592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的主要内容为： </w:t>
            </w:r>
          </w:p>
          <w:p w:rsidR="0079592B" w:rsidRPr="00815E63" w:rsidRDefault="0079592B" w:rsidP="00B070CB">
            <w:pPr>
              <w:widowControl/>
              <w:wordWrap w:val="0"/>
              <w:spacing w:line="408" w:lineRule="auto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3914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、任务完成情况：对照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任务书，</w:t>
            </w:r>
            <w:r w:rsidR="003914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检查实验室建设期或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年度任务</w:t>
            </w:r>
            <w:r w:rsidR="0039147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情况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。 </w:t>
            </w:r>
          </w:p>
          <w:p w:rsidR="0079592B" w:rsidRDefault="0079592B" w:rsidP="00B070CB">
            <w:pPr>
              <w:widowControl/>
              <w:wordWrap w:val="0"/>
              <w:spacing w:line="408" w:lineRule="auto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2、研究水平与成果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：实验室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的研究进展及水平，实验室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是否获重要或标志性成果。</w:t>
            </w:r>
          </w:p>
          <w:p w:rsidR="0079592B" w:rsidRPr="00815E63" w:rsidRDefault="0079592B" w:rsidP="00B070CB">
            <w:pPr>
              <w:widowControl/>
              <w:wordWrap w:val="0"/>
              <w:spacing w:line="408" w:lineRule="auto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3、队伍建设和人才培养：实验室吸引和稳定高水平人才的措施和成效，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研究队伍的稳定、团结协作、交叉融合等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情况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实验室承担本、硕、博人才培养情况。</w:t>
            </w:r>
          </w:p>
          <w:p w:rsidR="0079592B" w:rsidRPr="00815E63" w:rsidRDefault="0079592B" w:rsidP="00B070CB">
            <w:pPr>
              <w:widowControl/>
              <w:wordWrap w:val="0"/>
              <w:spacing w:line="408" w:lineRule="auto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. 开放交流：开放制度的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运行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与执行，开放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课题的设置、学科交叉，学术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交流成效。 </w:t>
            </w:r>
          </w:p>
          <w:p w:rsidR="0079592B" w:rsidRDefault="0079592B" w:rsidP="00B070CB">
            <w:pPr>
              <w:widowControl/>
              <w:wordWrap w:val="0"/>
              <w:spacing w:line="408" w:lineRule="auto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5. 共享与服务：大型科研仪器上网，科研仪器校内共享，开展对外技术服务情况。</w:t>
            </w:r>
          </w:p>
          <w:p w:rsidR="0079592B" w:rsidRPr="00815E63" w:rsidRDefault="0079592B" w:rsidP="00B070CB">
            <w:pPr>
              <w:widowControl/>
              <w:wordWrap w:val="0"/>
              <w:spacing w:line="408" w:lineRule="auto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6、运行管理:实验室运行规范，经费使用符合财务要求，日常管理有特色和文化。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79592B" w:rsidRDefault="00634BCA" w:rsidP="00A82309">
            <w:pPr>
              <w:widowControl/>
              <w:wordWrap w:val="0"/>
              <w:spacing w:line="408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第九</w:t>
            </w:r>
            <w:r w:rsidR="0079592B"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定期评估与年度</w:t>
            </w:r>
            <w:r w:rsidR="00AB453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考核结果分为优秀、</w:t>
            </w:r>
            <w:r w:rsidR="00745E3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良好</w:t>
            </w:r>
            <w:r w:rsidR="00BB31A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、合格和</w:t>
            </w:r>
            <w:r w:rsidR="00AB453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不合格四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类。</w:t>
            </w:r>
            <w:r w:rsidR="00AA7EF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对于考核或评估获优秀的实验室，学校将给予一次性奖励。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对</w:t>
            </w:r>
            <w:r w:rsidR="0079592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考核不合格的实验室不能发放科研绩效奖励，在建设运行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经费等方面予以适当下调。 </w:t>
            </w:r>
          </w:p>
          <w:p w:rsidR="001418E9" w:rsidRDefault="00634BCA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第十</w:t>
            </w:r>
            <w:r w:rsidR="001418E9" w:rsidRPr="00634BC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条 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学校科研管理部门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负责将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定期评估与年度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考核结果上报主管部门备案，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评估与</w:t>
            </w:r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考核结果是学校奖励实验室和拨付实验室运行经费的</w:t>
            </w:r>
            <w:proofErr w:type="gramStart"/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</w:t>
            </w:r>
            <w:proofErr w:type="gramEnd"/>
            <w:r w:rsidR="001418E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主要依据。</w:t>
            </w:r>
            <w:r w:rsidR="001418E9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8D7DC9" w:rsidRPr="00DE2121" w:rsidRDefault="008D7DC9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A01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第十一条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实验室在参加年度考核或定期评估工作中应实事求是，不得弄虚作假，凡发现弄虚作假，违反学术道德情况的按有关规定处理。</w:t>
            </w:r>
          </w:p>
          <w:p w:rsidR="001418E9" w:rsidRPr="001418E9" w:rsidRDefault="001418E9" w:rsidP="001418E9">
            <w:pPr>
              <w:widowControl/>
              <w:wordWrap w:val="0"/>
              <w:spacing w:line="408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9592B" w:rsidRPr="00815E63" w:rsidRDefault="00634BCA" w:rsidP="00B070CB">
            <w:pPr>
              <w:widowControl/>
              <w:wordWrap w:val="0"/>
              <w:spacing w:line="360" w:lineRule="auto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第四</w:t>
            </w:r>
            <w:r w:rsidR="0079592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章</w:t>
            </w:r>
            <w:r w:rsidR="0079592B"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附则 </w:t>
            </w:r>
          </w:p>
          <w:p w:rsidR="0079592B" w:rsidRPr="00815E63" w:rsidRDefault="00634BCA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第十</w:t>
            </w:r>
            <w:r w:rsidR="00F50A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二</w:t>
            </w:r>
            <w:r w:rsidR="0079592B"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条  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本办法由学校科研管理部门负责解释。 </w:t>
            </w:r>
          </w:p>
          <w:p w:rsidR="0079592B" w:rsidRPr="00815E63" w:rsidRDefault="00634BCA" w:rsidP="00A82309">
            <w:pPr>
              <w:widowControl/>
              <w:spacing w:line="360" w:lineRule="auto"/>
              <w:ind w:firstLineChars="200" w:firstLine="64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第十</w:t>
            </w:r>
            <w:r w:rsidR="00F50A0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三</w:t>
            </w:r>
            <w:r w:rsidR="0079592B"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条</w:t>
            </w:r>
            <w:r w:rsidR="0079592B"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本办法自发布之日起执行。</w:t>
            </w:r>
            <w:r w:rsidR="0079592B" w:rsidRPr="00815E6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79592B" w:rsidRDefault="0079592B" w:rsidP="00CE2D5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4BCA" w:rsidRDefault="00634BCA" w:rsidP="00CE2D5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4BCA" w:rsidRPr="00CE2D51" w:rsidRDefault="00634BCA" w:rsidP="00CE2D51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9592B" w:rsidRPr="00815E63" w:rsidRDefault="0079592B" w:rsidP="00B070CB">
            <w:pPr>
              <w:widowControl/>
              <w:spacing w:line="480" w:lineRule="auto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广西</w:t>
            </w:r>
            <w:r w:rsidRPr="00815E6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大学重点实验室</w:t>
            </w:r>
            <w:r w:rsidR="00634BCA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评估与</w:t>
            </w:r>
            <w:r w:rsidRPr="00815E63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考核指标体系</w:t>
            </w:r>
            <w:r w:rsidRPr="00815E6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1260"/>
              <w:gridCol w:w="5146"/>
              <w:gridCol w:w="709"/>
              <w:gridCol w:w="1417"/>
            </w:tblGrid>
            <w:tr w:rsidR="0079592B" w:rsidRPr="00815E63" w:rsidTr="00B070CB">
              <w:trPr>
                <w:trHeight w:val="56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ind w:leftChars="-40" w:left="-84" w:rightChars="-47" w:right="-99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 xml:space="preserve">序号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 xml:space="preserve">指标 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 xml:space="preserve">评分标准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 xml:space="preserve">得分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 xml:space="preserve">备注 </w:t>
                  </w:r>
                </w:p>
              </w:tc>
            </w:tr>
            <w:tr w:rsidR="0079592B" w:rsidRPr="00815E63" w:rsidTr="00B070CB">
              <w:trPr>
                <w:trHeight w:val="73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任务完成（</w:t>
                  </w:r>
                  <w:r w:rsidR="002666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任务书（或年度计划）指标完成情况；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63375F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9592B" w:rsidRPr="00815E63" w:rsidTr="00B070CB">
              <w:trPr>
                <w:trHeight w:val="73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研究水平和成果（</w:t>
                  </w:r>
                  <w:r w:rsidR="002666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）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研究进展、水平是否领先或者前沿（</w:t>
                  </w:r>
                  <w:r w:rsidR="002666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8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</w:p>
                <w:p w:rsidR="0079592B" w:rsidRPr="00563C62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是否有标志性成果或高级别奖励（</w:t>
                  </w:r>
                  <w:r w:rsidR="002666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9592B" w:rsidRPr="00815E63" w:rsidTr="00B070CB">
              <w:trPr>
                <w:trHeight w:val="73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研究队伍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与人才培养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（15分）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引进和稳定高水平人才的措施和效果（</w:t>
                  </w:r>
                  <w:r w:rsidR="00AB453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4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分）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实验室主任学术声誉</w:t>
                  </w:r>
                  <w:r w:rsidR="00AB453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  (3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分）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研究人员流动情况</w:t>
                  </w:r>
                  <w:r w:rsidR="00AB453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 (2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分) </w:t>
                  </w:r>
                </w:p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研究方向</w:t>
                  </w:r>
                  <w:proofErr w:type="gramStart"/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凝炼</w:t>
                  </w:r>
                  <w:proofErr w:type="gramEnd"/>
                  <w:r w:rsidR="00AB453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（获得项目、完成论文，4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分)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79592B" w:rsidRPr="00815E63" w:rsidRDefault="0079592B" w:rsidP="00AB4530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本科生、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研究生培养情况</w:t>
                  </w:r>
                  <w:r w:rsidR="00AB453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 (2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592B" w:rsidRPr="00815E63" w:rsidTr="00B070CB">
              <w:trPr>
                <w:trHeight w:val="73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开放交流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10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建设的实验室资源是否有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用于开放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 (2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分)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开放制度执行情况（客座研究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人员实验室研究情况、外单位人员自带课题、经费来实验室研究情况等(2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分)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开放成效（论文、专利、</w:t>
                  </w:r>
                  <w:proofErr w:type="gramStart"/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获批高级别</w:t>
                  </w:r>
                  <w:proofErr w:type="gramEnd"/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项目、科技奖励等</w:t>
                  </w:r>
                  <w:r w:rsidR="00AB453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）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(</w:t>
                  </w:r>
                  <w:r w:rsidR="00405B9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分) </w:t>
                  </w:r>
                </w:p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学科交叉与合作交流情况（学术讲座、学术会议、学术讨论等每年至少2次以上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  <w:t>）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(</w:t>
                  </w:r>
                  <w:r w:rsidR="00405B9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分)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405B9D" w:rsidRPr="00815E63" w:rsidRDefault="00405B9D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实验室与国内其它实验室的交流情况（2分）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592B" w:rsidRPr="00815E63" w:rsidTr="00B070CB">
              <w:trPr>
                <w:trHeight w:val="73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共享与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服务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10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符合共享的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仪器设备是否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按求共享(2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分)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仪器设备管理是否规范（台账）（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分）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仪器设备校内共享情况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 (2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分)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仪器设备维护与运行情况（使用记录）（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 xml:space="preserve">分） 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对外技术服务情况 (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分)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9592B" w:rsidRPr="00815E63" w:rsidTr="00B070CB">
              <w:trPr>
                <w:trHeight w:val="56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运行管理</w:t>
                  </w:r>
                </w:p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0分）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制度是否健全、上墙（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3</w:t>
                  </w:r>
                  <w:r w:rsidRPr="00815E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</w:p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经费是否按时使用（2分）</w:t>
                  </w:r>
                </w:p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各种年报、总结、信息是否及时上报（3分）</w:t>
                  </w:r>
                </w:p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是否建立实验室网站，实验室管理是否有特色和文化（2分）</w:t>
                  </w:r>
                </w:p>
                <w:p w:rsidR="0079592B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学术委员会会年会的是否按时召开（5分）</w:t>
                  </w:r>
                </w:p>
                <w:p w:rsidR="0079592B" w:rsidRPr="007D5977" w:rsidRDefault="0079592B" w:rsidP="00B070CB">
                  <w:pPr>
                    <w:widowControl/>
                    <w:spacing w:line="360" w:lineRule="auto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材料收集（实验室会议、成果收集、交流情况等均有文字记录或者图片）（5分）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6665" w:rsidRPr="00815E63" w:rsidTr="00B070CB">
              <w:trPr>
                <w:trHeight w:val="56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665" w:rsidRPr="00815E63" w:rsidRDefault="00266665" w:rsidP="00B070C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665" w:rsidRDefault="00266665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依托单位的支持（15</w:t>
                  </w:r>
                  <w:r w:rsidR="009B5BD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）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665" w:rsidRPr="00266665" w:rsidRDefault="00266665" w:rsidP="00266665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 w:rsidRPr="002666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是否安排符合实验室面积要求的场地（5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</w:t>
                  </w:r>
                  <w:r w:rsidRPr="0026666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）</w:t>
                  </w:r>
                </w:p>
                <w:p w:rsidR="00266665" w:rsidRDefault="00266665" w:rsidP="00266665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实验室用房是否相对集中</w:t>
                  </w:r>
                  <w:r w:rsidR="00DD31E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且能展示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 w:rsidR="00DD31E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分）</w:t>
                  </w:r>
                </w:p>
                <w:p w:rsidR="00266665" w:rsidRDefault="00266665" w:rsidP="00266665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实验室的设备是否</w:t>
                  </w:r>
                  <w:r w:rsidR="00DD31E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统一使用、统一管理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 w:rsidR="00DD31E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3分）</w:t>
                  </w:r>
                </w:p>
                <w:p w:rsidR="00DD31E0" w:rsidRPr="00266665" w:rsidRDefault="00DD31E0" w:rsidP="00266665">
                  <w:pPr>
                    <w:pStyle w:val="a7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1"/>
                    </w:rPr>
                    <w:t>依托单位是否经常关心、宣传实验室（2分）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665" w:rsidRPr="00815E63" w:rsidRDefault="00266665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665" w:rsidRPr="00815E63" w:rsidRDefault="00266665" w:rsidP="00B070CB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9592B" w:rsidRPr="00815E63" w:rsidTr="00B070CB">
              <w:trPr>
                <w:trHeight w:val="567"/>
              </w:trPr>
              <w:tc>
                <w:tcPr>
                  <w:tcW w:w="7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总分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92B" w:rsidRPr="00815E63" w:rsidRDefault="0079592B" w:rsidP="00B070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815E63">
                    <w:rPr>
                      <w:rFonts w:ascii="仿宋_GB2312" w:eastAsia="仿宋_GB2312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9592B" w:rsidRDefault="0079592B" w:rsidP="00B070CB">
            <w:pPr>
              <w:widowControl/>
              <w:spacing w:line="480" w:lineRule="exact"/>
              <w:ind w:firstLine="375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D5977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注：考核等级界定，</w:t>
            </w:r>
            <w:r w:rsidR="00CF4366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优秀（90分以上），</w:t>
            </w:r>
            <w:r w:rsidR="00034020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良好</w:t>
            </w:r>
            <w:r w:rsidR="00CF4366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（75-89</w:t>
            </w:r>
            <w:r w:rsidR="00CF4366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lastRenderedPageBreak/>
              <w:t>分），</w:t>
            </w:r>
            <w:r w:rsidRPr="007D5977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合格（</w:t>
            </w:r>
            <w:r w:rsidR="00CF4366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60-74</w:t>
            </w:r>
            <w:r w:rsidRPr="007D5977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分），不合格（＜</w:t>
            </w:r>
            <w:r w:rsidRPr="007D59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60</w:t>
            </w:r>
            <w:r w:rsidRPr="007D5977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分）。</w:t>
            </w:r>
          </w:p>
          <w:p w:rsidR="0079592B" w:rsidRPr="00CF4366" w:rsidRDefault="0079592B" w:rsidP="00B070CB">
            <w:pPr>
              <w:widowControl/>
              <w:spacing w:line="480" w:lineRule="exact"/>
              <w:ind w:firstLine="375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  <w:p w:rsidR="0079592B" w:rsidRDefault="0079592B" w:rsidP="00B070CB">
            <w:pPr>
              <w:widowControl/>
              <w:spacing w:line="480" w:lineRule="exact"/>
              <w:ind w:firstLine="375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  <w:p w:rsidR="0079592B" w:rsidRDefault="0079592B" w:rsidP="00B070CB">
            <w:pPr>
              <w:widowControl/>
              <w:spacing w:line="480" w:lineRule="exact"/>
              <w:ind w:firstLine="375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 w:rsidR="00634BCA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   广西大学</w:t>
            </w:r>
          </w:p>
          <w:p w:rsidR="0079592B" w:rsidRPr="007D5977" w:rsidRDefault="00924F00" w:rsidP="00B070CB">
            <w:pPr>
              <w:widowControl/>
              <w:spacing w:line="480" w:lineRule="exact"/>
              <w:ind w:firstLine="3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 w:rsidR="00634BCA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2017</w:t>
            </w:r>
            <w:r w:rsidR="0079592B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DC01CD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  <w:r w:rsidR="0079592B">
              <w:rPr>
                <w:rFonts w:ascii="仿宋_GB2312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C01C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79592B" w:rsidRPr="0079592B" w:rsidRDefault="0079592B" w:rsidP="0079592B"/>
    <w:sectPr w:rsidR="0079592B" w:rsidRPr="0079592B" w:rsidSect="00C4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C1" w:rsidRDefault="008E7EC1" w:rsidP="0063375F">
      <w:r>
        <w:separator/>
      </w:r>
    </w:p>
  </w:endnote>
  <w:endnote w:type="continuationSeparator" w:id="0">
    <w:p w:rsidR="008E7EC1" w:rsidRDefault="008E7EC1" w:rsidP="0063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C1" w:rsidRDefault="008E7EC1" w:rsidP="0063375F">
      <w:r>
        <w:separator/>
      </w:r>
    </w:p>
  </w:footnote>
  <w:footnote w:type="continuationSeparator" w:id="0">
    <w:p w:rsidR="008E7EC1" w:rsidRDefault="008E7EC1" w:rsidP="0063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25"/>
    <w:multiLevelType w:val="hybridMultilevel"/>
    <w:tmpl w:val="9D846A20"/>
    <w:lvl w:ilvl="0" w:tplc="6818F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E63"/>
    <w:rsid w:val="00021C68"/>
    <w:rsid w:val="00021F18"/>
    <w:rsid w:val="0002726D"/>
    <w:rsid w:val="00030BEE"/>
    <w:rsid w:val="00034020"/>
    <w:rsid w:val="000537DF"/>
    <w:rsid w:val="000825B3"/>
    <w:rsid w:val="000B2009"/>
    <w:rsid w:val="000E1D74"/>
    <w:rsid w:val="00110C70"/>
    <w:rsid w:val="001418E9"/>
    <w:rsid w:val="00186D4F"/>
    <w:rsid w:val="001C19EE"/>
    <w:rsid w:val="001E5B6A"/>
    <w:rsid w:val="00214BB6"/>
    <w:rsid w:val="00225755"/>
    <w:rsid w:val="00266665"/>
    <w:rsid w:val="00276A82"/>
    <w:rsid w:val="002905F2"/>
    <w:rsid w:val="00295132"/>
    <w:rsid w:val="00316E60"/>
    <w:rsid w:val="00347843"/>
    <w:rsid w:val="00373373"/>
    <w:rsid w:val="0039147F"/>
    <w:rsid w:val="003A317F"/>
    <w:rsid w:val="003C2492"/>
    <w:rsid w:val="003F7031"/>
    <w:rsid w:val="00405B9D"/>
    <w:rsid w:val="00421962"/>
    <w:rsid w:val="004432C8"/>
    <w:rsid w:val="0049180F"/>
    <w:rsid w:val="004A4C86"/>
    <w:rsid w:val="004B03E4"/>
    <w:rsid w:val="004B11BB"/>
    <w:rsid w:val="004C6937"/>
    <w:rsid w:val="00563C62"/>
    <w:rsid w:val="00591324"/>
    <w:rsid w:val="005B493D"/>
    <w:rsid w:val="00611898"/>
    <w:rsid w:val="006141C4"/>
    <w:rsid w:val="006240CF"/>
    <w:rsid w:val="0063375F"/>
    <w:rsid w:val="00634BCA"/>
    <w:rsid w:val="0064052E"/>
    <w:rsid w:val="0064367A"/>
    <w:rsid w:val="00671917"/>
    <w:rsid w:val="00683384"/>
    <w:rsid w:val="006A4EB5"/>
    <w:rsid w:val="00722505"/>
    <w:rsid w:val="00745E32"/>
    <w:rsid w:val="007754AD"/>
    <w:rsid w:val="007942A6"/>
    <w:rsid w:val="0079592B"/>
    <w:rsid w:val="007C0910"/>
    <w:rsid w:val="007D5977"/>
    <w:rsid w:val="00806F5D"/>
    <w:rsid w:val="00815E63"/>
    <w:rsid w:val="00892C70"/>
    <w:rsid w:val="008B0A0C"/>
    <w:rsid w:val="008B3F4E"/>
    <w:rsid w:val="008D780B"/>
    <w:rsid w:val="008D7DC9"/>
    <w:rsid w:val="008E0596"/>
    <w:rsid w:val="008E7EC1"/>
    <w:rsid w:val="00924F00"/>
    <w:rsid w:val="00942E18"/>
    <w:rsid w:val="00975375"/>
    <w:rsid w:val="00993636"/>
    <w:rsid w:val="009B5BD3"/>
    <w:rsid w:val="009C4C4D"/>
    <w:rsid w:val="00A012D3"/>
    <w:rsid w:val="00A12642"/>
    <w:rsid w:val="00A45F6C"/>
    <w:rsid w:val="00A82266"/>
    <w:rsid w:val="00A82309"/>
    <w:rsid w:val="00AA7EFF"/>
    <w:rsid w:val="00AB4530"/>
    <w:rsid w:val="00AE17DA"/>
    <w:rsid w:val="00AF0B0E"/>
    <w:rsid w:val="00AF2F38"/>
    <w:rsid w:val="00AF516A"/>
    <w:rsid w:val="00B4322B"/>
    <w:rsid w:val="00B95176"/>
    <w:rsid w:val="00BA01BF"/>
    <w:rsid w:val="00BB31AE"/>
    <w:rsid w:val="00BD5454"/>
    <w:rsid w:val="00C465FA"/>
    <w:rsid w:val="00CB58B5"/>
    <w:rsid w:val="00CE1851"/>
    <w:rsid w:val="00CE2D51"/>
    <w:rsid w:val="00CF33C0"/>
    <w:rsid w:val="00CF4366"/>
    <w:rsid w:val="00DC01CD"/>
    <w:rsid w:val="00DD31E0"/>
    <w:rsid w:val="00DE2121"/>
    <w:rsid w:val="00E24968"/>
    <w:rsid w:val="00E3061B"/>
    <w:rsid w:val="00E355DA"/>
    <w:rsid w:val="00E421EF"/>
    <w:rsid w:val="00E5794D"/>
    <w:rsid w:val="00E66FB0"/>
    <w:rsid w:val="00EB1597"/>
    <w:rsid w:val="00EF2CDC"/>
    <w:rsid w:val="00EF704E"/>
    <w:rsid w:val="00F0230A"/>
    <w:rsid w:val="00F40180"/>
    <w:rsid w:val="00F50A05"/>
    <w:rsid w:val="00F53FAA"/>
    <w:rsid w:val="00F764A1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37561">
    <w:name w:val="timestyle437561"/>
    <w:basedOn w:val="a0"/>
    <w:rsid w:val="00815E63"/>
    <w:rPr>
      <w:color w:val="000000"/>
      <w:sz w:val="18"/>
      <w:szCs w:val="18"/>
    </w:rPr>
  </w:style>
  <w:style w:type="character" w:customStyle="1" w:styleId="authorstyle437561">
    <w:name w:val="authorstyle437561"/>
    <w:basedOn w:val="a0"/>
    <w:rsid w:val="00815E63"/>
    <w:rPr>
      <w:color w:val="00000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33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7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5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D7D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7DC9"/>
    <w:rPr>
      <w:sz w:val="18"/>
      <w:szCs w:val="18"/>
    </w:rPr>
  </w:style>
  <w:style w:type="paragraph" w:styleId="a7">
    <w:name w:val="List Paragraph"/>
    <w:basedOn w:val="a"/>
    <w:uiPriority w:val="34"/>
    <w:qFormat/>
    <w:rsid w:val="00266665"/>
    <w:pPr>
      <w:ind w:firstLineChars="200" w:firstLine="420"/>
    </w:pPr>
  </w:style>
  <w:style w:type="paragraph" w:styleId="a8">
    <w:name w:val="Revision"/>
    <w:hidden/>
    <w:uiPriority w:val="99"/>
    <w:semiHidden/>
    <w:rsid w:val="0062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79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47C1-7318-4DB3-9685-F466F964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351</Words>
  <Characters>2005</Characters>
  <Application>Microsoft Office Word</Application>
  <DocSecurity>0</DocSecurity>
  <Lines>16</Lines>
  <Paragraphs>4</Paragraphs>
  <ScaleCrop>false</ScaleCrop>
  <Company>China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科技处</cp:lastModifiedBy>
  <cp:revision>49</cp:revision>
  <dcterms:created xsi:type="dcterms:W3CDTF">2016-12-12T00:29:00Z</dcterms:created>
  <dcterms:modified xsi:type="dcterms:W3CDTF">2020-01-02T02:58:00Z</dcterms:modified>
</cp:coreProperties>
</file>